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724C80"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岳阳市人民政府口岸管理办公室</w:t>
      </w:r>
    </w:p>
    <w:p w14:paraId="77A586F9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口岸发展专项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支出绩效自评报告</w:t>
      </w:r>
    </w:p>
    <w:p w14:paraId="5FB8A6FF">
      <w:pPr>
        <w:pStyle w:val="8"/>
        <w:rPr>
          <w:rFonts w:hint="eastAsia"/>
        </w:rPr>
      </w:pPr>
    </w:p>
    <w:p w14:paraId="017E44C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eastAsia="仿宋_GB2312" w:cs="仿宋_GB2312"/>
          <w:kern w:val="0"/>
          <w:sz w:val="32"/>
          <w:szCs w:val="32"/>
        </w:rPr>
        <w:t>为加强财政资金支出管理，优化财政支出结构，我单位对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202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5年口岸发展专项资金支出进行了绩效自评，现将评价情况汇报如下：</w:t>
      </w:r>
    </w:p>
    <w:p w14:paraId="005C6BC5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-80" w:leftChars="0" w:firstLine="640" w:firstLineChars="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项目基本情况</w:t>
      </w:r>
    </w:p>
    <w:p w14:paraId="4C052580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/>
        </w:rPr>
      </w:pPr>
      <w:r>
        <w:rPr>
          <w:rFonts w:hint="eastAsia" w:ascii="Times New Roman" w:hAnsi="Times New Roman" w:eastAsia="楷体_GB2312" w:cs="Times New Roman"/>
          <w:b/>
          <w:kern w:val="0"/>
          <w:sz w:val="32"/>
          <w:szCs w:val="32"/>
          <w:lang w:val="en-US" w:eastAsia="zh-CN" w:bidi="ar-SA"/>
        </w:rPr>
        <w:t>（一）项目概况</w:t>
      </w:r>
    </w:p>
    <w:p w14:paraId="3993575C">
      <w:pPr>
        <w:pStyle w:val="2"/>
        <w:ind w:firstLine="640" w:firstLineChars="200"/>
        <w:rPr>
          <w:rFonts w:hint="default" w:ascii="仿宋" w:hAnsi="仿宋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_GB2312" w:cs="仿宋_GB2312"/>
          <w:kern w:val="0"/>
          <w:sz w:val="32"/>
          <w:szCs w:val="32"/>
          <w:lang w:val="en-US" w:eastAsia="zh-CN" w:bidi="ar-SA"/>
        </w:rPr>
        <w:t>根据《关于解决城陵矶新港口岸及联检设施改造升级建设资金的请示》（岳政2012[58]号，《岳阳城陵矶新港口岸设施预验收纪要》（2009年5月27日）、《物业管理合同书》、《关于城陵矶口岸H986集装箱机检中心建设有关问题的会议纪要》（岳府阅〔2014〕13号）、《岳阳新港口岸联检锚地2025年度专用航标设置（维护）服务合同》等文件要求，</w:t>
      </w:r>
      <w:r>
        <w:rPr>
          <w:rFonts w:hint="eastAsia" w:ascii="仿宋" w:hAnsi="仿宋" w:eastAsia="仿宋_GB2312" w:cs="仿宋_GB2312"/>
          <w:kern w:val="0"/>
          <w:sz w:val="32"/>
          <w:szCs w:val="32"/>
          <w:lang w:val="en-US" w:eastAsia="zh-CN" w:bidi="ar-SA"/>
        </w:rPr>
        <w:t>本项目共下达口岸发展专项资金58万元。资金主要用于以下方面：一是保障城陵矶联检大楼正常运营，包含物业费和水电费及相关基础设施维修维护；二是保障H986正常运行，提高查验检测效率，提高口岸通关便利化建设，包括H986设备和场地的维护以及工作人员体检等；三是对口岸联检锚地进行专用航标设置和水深、标识维护等工作，保障城陵矶口岸国际直航常态运营。</w:t>
      </w:r>
    </w:p>
    <w:p w14:paraId="6859B7B7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Times New Roman" w:hAnsi="Times New Roman" w:eastAsia="楷体_GB2312" w:cs="Times New Roman"/>
          <w:b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b/>
          <w:kern w:val="0"/>
          <w:sz w:val="32"/>
          <w:szCs w:val="32"/>
          <w:lang w:val="en-US" w:eastAsia="zh-CN" w:bidi="ar-SA"/>
        </w:rPr>
        <w:t>项目实施期限</w:t>
      </w:r>
    </w:p>
    <w:p w14:paraId="0469A7F1">
      <w:pPr>
        <w:pStyle w:val="2"/>
        <w:rPr>
          <w:rFonts w:hint="eastAsia" w:ascii="仿宋" w:hAnsi="仿宋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/>
          <w:lang w:val="en-US" w:eastAsia="zh-CN"/>
        </w:rPr>
        <w:t xml:space="preserve">      </w:t>
      </w:r>
      <w:r>
        <w:rPr>
          <w:rFonts w:hint="eastAsia" w:ascii="仿宋" w:hAnsi="仿宋" w:eastAsia="仿宋_GB2312" w:cs="仿宋_GB2312"/>
          <w:kern w:val="0"/>
          <w:sz w:val="32"/>
          <w:szCs w:val="32"/>
          <w:lang w:val="en-US" w:eastAsia="zh-CN" w:bidi="ar-SA"/>
        </w:rPr>
        <w:t>2025年1月1日至2025年12月31日。</w:t>
      </w:r>
    </w:p>
    <w:p w14:paraId="388B99DE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Times New Roman" w:hAnsi="Times New Roman" w:eastAsia="楷体_GB2312" w:cs="Times New Roman"/>
          <w:b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b/>
          <w:kern w:val="0"/>
          <w:sz w:val="32"/>
          <w:szCs w:val="32"/>
          <w:lang w:val="en-US" w:eastAsia="zh-CN" w:bidi="ar-SA"/>
        </w:rPr>
        <w:t>资金计划及到位情况</w:t>
      </w:r>
    </w:p>
    <w:p w14:paraId="50BCE572">
      <w:pPr>
        <w:widowControl w:val="0"/>
        <w:adjustRightInd/>
        <w:spacing w:after="0"/>
        <w:ind w:firstLine="630" w:firstLineChars="0"/>
        <w:jc w:val="both"/>
        <w:rPr>
          <w:rFonts w:hint="default" w:ascii="仿宋" w:hAnsi="仿宋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_GB2312" w:cs="仿宋_GB2312"/>
          <w:kern w:val="0"/>
          <w:sz w:val="32"/>
          <w:szCs w:val="32"/>
          <w:lang w:val="en-US" w:eastAsia="zh-CN" w:bidi="ar-SA"/>
        </w:rPr>
        <w:t>资金来源于市级资金，计划到位58万元，实际到位58万元，到位率100%。结合实际工作具体情况，科学、客观的对口岸发展专项资金进行资金分配，联检大楼运营31.5万元，H986运营10.54万元，锚地建设20万元。</w:t>
      </w:r>
    </w:p>
    <w:p w14:paraId="766538E3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Times New Roman" w:hAnsi="Times New Roman" w:eastAsia="楷体_GB2312" w:cs="Times New Roman"/>
          <w:b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b/>
          <w:kern w:val="0"/>
          <w:sz w:val="32"/>
          <w:szCs w:val="32"/>
          <w:lang w:val="en-US" w:eastAsia="zh-CN" w:bidi="ar-SA"/>
        </w:rPr>
        <w:t>财务管理合规性</w:t>
      </w:r>
    </w:p>
    <w:p w14:paraId="7F4C0B47">
      <w:pPr>
        <w:widowControl w:val="0"/>
        <w:adjustRightInd/>
        <w:spacing w:after="0"/>
        <w:ind w:firstLine="630" w:firstLineChars="0"/>
        <w:jc w:val="both"/>
        <w:rPr>
          <w:rFonts w:hint="default" w:ascii="仿宋" w:hAnsi="仿宋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_GB2312" w:cs="仿宋_GB2312"/>
          <w:kern w:val="0"/>
          <w:sz w:val="32"/>
          <w:szCs w:val="32"/>
          <w:lang w:val="en-US" w:eastAsia="zh-CN" w:bidi="ar-SA"/>
        </w:rPr>
        <w:t>严格执行我办财务管理制度，实行专账核算、专款专用。 经自查，资金使用符合规定范围，未发现截留、挪用、虚列支出等违规行为，大额支出均经党组会集体决策，资金拨付履行完整的审批程序和手续，确保每一笔支出合规、可追溯。</w:t>
      </w:r>
    </w:p>
    <w:p w14:paraId="30AAF500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-80" w:leftChars="0" w:firstLine="640" w:firstLineChars="0"/>
        <w:jc w:val="both"/>
        <w:textAlignment w:val="auto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项目实施及管理情况</w:t>
      </w:r>
    </w:p>
    <w:p w14:paraId="0D9EC215">
      <w:pPr>
        <w:pStyle w:val="2"/>
        <w:numPr>
          <w:numId w:val="0"/>
        </w:numPr>
        <w:ind w:left="560" w:leftChars="0"/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-SA"/>
        </w:rPr>
        <w:t>项目实施前已制定资金管理办法且有明确的项目资金分</w:t>
      </w:r>
    </w:p>
    <w:p w14:paraId="0C21E311">
      <w:pPr>
        <w:pStyle w:val="2"/>
        <w:numPr>
          <w:numId w:val="0"/>
        </w:numP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-SA"/>
        </w:rPr>
        <w:t>配方案及流程，在项目实施中，到实地查看项目进度、检查项目质量和安全隐患等，项目完工及时验收，验收合格且资料齐全后及时支付项目资金。</w:t>
      </w:r>
    </w:p>
    <w:p w14:paraId="7463FB41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-80" w:leftChars="0" w:firstLine="640" w:firstLineChars="0"/>
        <w:jc w:val="both"/>
        <w:textAlignment w:val="auto"/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项目绩效情况</w:t>
      </w:r>
    </w:p>
    <w:p w14:paraId="368C019F"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3" w:firstLineChars="200"/>
        <w:jc w:val="both"/>
        <w:textAlignment w:val="auto"/>
        <w:rPr>
          <w:rFonts w:hint="default" w:ascii="Times New Roman" w:hAnsi="Times New Roman" w:eastAsia="楷体_GB2312" w:cs="Times New Roman"/>
          <w:b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</w:rPr>
        <w:t>（一）</w:t>
      </w:r>
      <w:r>
        <w:rPr>
          <w:rFonts w:hint="eastAsia" w:ascii="Times New Roman" w:hAnsi="Times New Roman" w:eastAsia="楷体_GB2312" w:cs="Times New Roman"/>
          <w:b/>
          <w:sz w:val="32"/>
          <w:szCs w:val="32"/>
          <w:lang w:eastAsia="zh-CN"/>
        </w:rPr>
        <w:t>项目完成</w:t>
      </w:r>
      <w:r>
        <w:rPr>
          <w:rFonts w:hint="default" w:ascii="Times New Roman" w:hAnsi="Times New Roman" w:eastAsia="楷体_GB2312" w:cs="Times New Roman"/>
          <w:b/>
          <w:sz w:val="32"/>
          <w:szCs w:val="32"/>
        </w:rPr>
        <w:t>情况</w:t>
      </w:r>
    </w:p>
    <w:p w14:paraId="2FA47A97">
      <w:pPr>
        <w:spacing w:before="88" w:line="409" w:lineRule="auto"/>
        <w:ind w:right="68" w:firstLine="640" w:firstLineChars="200"/>
        <w:rPr>
          <w:rFonts w:hint="default" w:ascii="Times New Roman" w:hAnsi="Times New Roman" w:eastAsia="楷体_GB2312" w:cs="Times New Roman"/>
          <w:b/>
          <w:sz w:val="32"/>
          <w:szCs w:val="32"/>
          <w:lang w:val="en-US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-SA"/>
        </w:rPr>
        <w:t>2025年口岸发展专项资金支出总额58万元，主要用于口岸管理支出，其中联检大楼物业费21.5万元，水电费10万元；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-SA"/>
        </w:rPr>
        <w:t>锚地航道维护费19.8万元，安全宣传印刷0.2万元；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-SA"/>
        </w:rPr>
        <w:t>H986工作人员体检费0.28万元，H986地磅检测、环保设备、变压器、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-SA"/>
        </w:rPr>
        <w:t>辐射区域及房屋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-SA"/>
        </w:rPr>
        <w:t>维修维护费10.26万元，</w:t>
      </w:r>
    </w:p>
    <w:p w14:paraId="14CA56E0">
      <w:pPr>
        <w:pStyle w:val="11"/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3" w:firstLineChars="200"/>
        <w:jc w:val="both"/>
        <w:textAlignment w:val="auto"/>
        <w:rPr>
          <w:rFonts w:hint="default" w:ascii="Times New Roman" w:hAnsi="Times New Roman" w:eastAsia="楷体_GB2312" w:cs="Times New Roman"/>
          <w:b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</w:rPr>
        <w:t>项目</w:t>
      </w:r>
      <w:r>
        <w:rPr>
          <w:rFonts w:hint="eastAsia" w:ascii="Times New Roman" w:hAnsi="Times New Roman" w:eastAsia="楷体_GB2312" w:cs="Times New Roman"/>
          <w:b/>
          <w:sz w:val="32"/>
          <w:szCs w:val="32"/>
          <w:lang w:eastAsia="zh-CN"/>
        </w:rPr>
        <w:t>效益</w:t>
      </w:r>
      <w:r>
        <w:rPr>
          <w:rFonts w:hint="default" w:ascii="Times New Roman" w:hAnsi="Times New Roman" w:eastAsia="楷体_GB2312" w:cs="Times New Roman"/>
          <w:b/>
          <w:sz w:val="32"/>
          <w:szCs w:val="32"/>
        </w:rPr>
        <w:t>情况</w:t>
      </w:r>
    </w:p>
    <w:p w14:paraId="4E686E05">
      <w:pPr>
        <w:pStyle w:val="11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-SA"/>
        </w:rPr>
        <w:t>联检大楼正常运营，为城陵矶口岸一线查验人员提供了集中、稳定、现代化的办公与生活保障，实现了海关、边检、海事等联检单位协同作业、联合查验，显著提升了口岸通关效率和服务水平，有效保障了城陵矶口岸全年高效、顺畅运行，高效服务城陵矶口岸一线通关工作。</w:t>
      </w:r>
    </w:p>
    <w:p w14:paraId="458E58AF">
      <w:pPr>
        <w:pStyle w:val="11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-SA"/>
        </w:rPr>
        <w:t>H986正常运行大幅压缩通关时间，传统人工掏箱查验需2~4小时，H986机检+智能审图可在数分钟内完成扫描、单个集装箱通关时间压缩80%以上，降低企业物流成本：免去开箱、掏箱、重装箱及滞箱费，单箱机检成本较人工查验可节省数百元，减少货损风险。强化监管精准度与国门安全，透视成像可识别暗格、夹藏、危化品、固体废物等，配合智能审图提升查获率，实现“管得住、通得快”。</w:t>
      </w:r>
    </w:p>
    <w:p w14:paraId="3ABD862E">
      <w:pPr>
        <w:pStyle w:val="11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-SA"/>
        </w:rPr>
        <w:t>长年保障外贸联检锚地6米以上标准水深，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-SA"/>
        </w:rPr>
        <w:t>充足深水化的锚地可容纳大型/超大型国际航行船舶候泊、减载或过驳，减少“船等泊位”现象，直接提高港口实际通过能力和船舶周转率，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-SA"/>
        </w:rPr>
        <w:t>对口岸联检锚地进行专用航标设置和水深、标识维护等工作，保障城陵矶口岸国际直航常态运营。</w:t>
      </w:r>
    </w:p>
    <w:p w14:paraId="7AAA0FBE">
      <w:pPr>
        <w:pStyle w:val="11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200"/>
        <w:jc w:val="both"/>
        <w:textAlignment w:val="auto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三、评价结论及建议</w:t>
      </w:r>
    </w:p>
    <w:p w14:paraId="357BF9B6">
      <w:pPr>
        <w:pStyle w:val="11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3" w:firstLineChars="200"/>
        <w:jc w:val="both"/>
        <w:textAlignment w:val="auto"/>
        <w:rPr>
          <w:rFonts w:hint="eastAsia" w:ascii="Times New Roman" w:hAnsi="Times New Roman" w:eastAsia="仿宋_GB2312" w:cs="仿宋_GB2312"/>
          <w:b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b/>
          <w:bCs/>
          <w:kern w:val="0"/>
          <w:sz w:val="32"/>
          <w:szCs w:val="32"/>
          <w:lang w:val="en-US" w:eastAsia="zh-CN" w:bidi="ar-SA"/>
        </w:rPr>
        <w:t>（一）评价结论</w:t>
      </w:r>
    </w:p>
    <w:p w14:paraId="03DFF6B0">
      <w:pPr>
        <w:pStyle w:val="11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-SA"/>
        </w:rPr>
        <w:t>2025年口岸发展专项资金支出绩效评价自我评价100分，评价总体效果较好，项目有针对的解决了各项实际问题，绩效目标按期实现，按照各项政策要求，不断提高项目的绩效目标。</w:t>
      </w:r>
      <w:r>
        <w:rPr>
          <w:rFonts w:hint="default" w:ascii="Times New Roman" w:hAnsi="Times New Roman" w:eastAsia="仿宋_GB2312" w:cs="仿宋_GB2312"/>
          <w:kern w:val="0"/>
          <w:sz w:val="32"/>
          <w:szCs w:val="32"/>
          <w:lang w:val="en-US" w:eastAsia="zh-CN" w:bidi="ar-SA"/>
        </w:rPr>
        <w:t>以推动口岸高质量发展为核心，聚焦五大国际贸易通道建设，有效应对航运市场竞争压力与发展挑战，实现口岸功能持续增强、服务效能显著提升、外贸发展逆势提质，为岳阳打造内陆地区改革开放新高地提供坚实口岸支撑。</w:t>
      </w:r>
    </w:p>
    <w:p w14:paraId="6F18CE5B">
      <w:pPr>
        <w:pStyle w:val="11"/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3" w:firstLineChars="200"/>
        <w:jc w:val="both"/>
        <w:textAlignment w:val="auto"/>
        <w:rPr>
          <w:rFonts w:hint="default" w:ascii="Times New Roman" w:hAnsi="Times New Roman" w:eastAsia="楷体_GB2312" w:cs="Times New Roman"/>
          <w:b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/>
          <w:sz w:val="32"/>
          <w:szCs w:val="32"/>
          <w:lang w:val="en-US" w:eastAsia="zh-CN"/>
        </w:rPr>
        <w:t>存在的问题</w:t>
      </w:r>
    </w:p>
    <w:p w14:paraId="2210FA45">
      <w:pPr>
        <w:pStyle w:val="11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-SA"/>
        </w:rPr>
        <w:t>受国际市场波动影响，某些口岸业务曾出现阶段性停滞，智慧口岸各子系统间的数据共享与互联互通仍有优化空间。</w:t>
      </w:r>
      <w:bookmarkStart w:id="0" w:name="_GoBack"/>
      <w:bookmarkEnd w:id="0"/>
    </w:p>
    <w:p w14:paraId="057CD953">
      <w:pPr>
        <w:pStyle w:val="11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560" w:leftChars="0"/>
        <w:jc w:val="both"/>
        <w:textAlignment w:val="auto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四、下一步改进措施</w:t>
      </w:r>
    </w:p>
    <w:p w14:paraId="127AE03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-SA"/>
        </w:rPr>
        <w:t>进一步提高对预算绩效管理的重视程度，将绩效自评作为发现问题、改进管理、提升效能的重要抓手。健全“主要领导负总责、分管领导具体抓、责任科室抓落实”的工作机制，明确职责分工，强化结果运用，推动绩效管理由“被动应付”向“主动治理”转变。</w:t>
      </w:r>
    </w:p>
    <w:p w14:paraId="4F60BF3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-SA"/>
        </w:rPr>
        <w:t>建立健全贯穿“目标设定—过程监控—绩效自评”全链条的沟通反馈机制。强化牵头部门与各业务科室的横向联动，确保绩效目标与年度重点工作高度契合、科学合理、可评可测；鼓励多元主体参与评价，提升绩效管理透明度与公信力。</w:t>
      </w:r>
    </w:p>
    <w:p w14:paraId="7EFB3B31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-SA"/>
        </w:rPr>
        <w:t>健全财政专项资金管理制度，严格执行财经纪律和财务管理制度。坚持专款专用、独立核算，严禁挤占、挪用、截留项目资金。强化事前审核、事中监控、事后审计，确保资金使用规范、安全、高效，切实提高财政资源配置效率和使用效益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国标仿宋">
    <w:altName w:val="仿宋"/>
    <w:panose1 w:val="02000500000000000000"/>
    <w:charset w:val="86"/>
    <w:family w:val="auto"/>
    <w:pitch w:val="default"/>
    <w:sig w:usb0="00000000" w:usb1="00000000" w:usb2="00000016" w:usb3="00000000" w:csb0="00040000" w:csb1="00000000"/>
  </w:font>
  <w:font w:name="汉仪大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50212F"/>
    <w:multiLevelType w:val="singleLevel"/>
    <w:tmpl w:val="D250212F"/>
    <w:lvl w:ilvl="0" w:tentative="0">
      <w:start w:val="1"/>
      <w:numFmt w:val="chineseCounting"/>
      <w:suff w:val="nothing"/>
      <w:lvlText w:val="%1、"/>
      <w:lvlJc w:val="left"/>
      <w:pPr>
        <w:ind w:left="-80"/>
      </w:pPr>
      <w:rPr>
        <w:rFonts w:hint="eastAsia"/>
      </w:rPr>
    </w:lvl>
  </w:abstractNum>
  <w:abstractNum w:abstractNumId="1">
    <w:nsid w:val="E7FBD626"/>
    <w:multiLevelType w:val="singleLevel"/>
    <w:tmpl w:val="E7FBD626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1E8B3A30"/>
    <w:multiLevelType w:val="singleLevel"/>
    <w:tmpl w:val="1E8B3A30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794ABB6E"/>
    <w:multiLevelType w:val="singleLevel"/>
    <w:tmpl w:val="794ABB6E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BF15BD"/>
    <w:rsid w:val="02BF15BD"/>
    <w:rsid w:val="097E24FD"/>
    <w:rsid w:val="0AF739DC"/>
    <w:rsid w:val="108E3BD9"/>
    <w:rsid w:val="1111746F"/>
    <w:rsid w:val="14253481"/>
    <w:rsid w:val="189A5F9C"/>
    <w:rsid w:val="197F1ACD"/>
    <w:rsid w:val="1B4D72F6"/>
    <w:rsid w:val="1B524F0F"/>
    <w:rsid w:val="1DAA1F34"/>
    <w:rsid w:val="1FD06747"/>
    <w:rsid w:val="20A43E5C"/>
    <w:rsid w:val="21A6088D"/>
    <w:rsid w:val="22EA7B20"/>
    <w:rsid w:val="23812232"/>
    <w:rsid w:val="27B3460D"/>
    <w:rsid w:val="2B54647E"/>
    <w:rsid w:val="2FD752D1"/>
    <w:rsid w:val="30E402A4"/>
    <w:rsid w:val="39312E7C"/>
    <w:rsid w:val="3E9B6EC4"/>
    <w:rsid w:val="3EDB170F"/>
    <w:rsid w:val="407878D1"/>
    <w:rsid w:val="408E3D89"/>
    <w:rsid w:val="424566C9"/>
    <w:rsid w:val="46C202E8"/>
    <w:rsid w:val="4F005CD8"/>
    <w:rsid w:val="517E2D11"/>
    <w:rsid w:val="51DE0461"/>
    <w:rsid w:val="597D4C6F"/>
    <w:rsid w:val="5C776EDC"/>
    <w:rsid w:val="5EDA66BF"/>
    <w:rsid w:val="5F657458"/>
    <w:rsid w:val="63EE0517"/>
    <w:rsid w:val="65256072"/>
    <w:rsid w:val="664A11CC"/>
    <w:rsid w:val="664A412A"/>
    <w:rsid w:val="680E2F36"/>
    <w:rsid w:val="6B264A3A"/>
    <w:rsid w:val="6B2B10FF"/>
    <w:rsid w:val="6BF21C63"/>
    <w:rsid w:val="6E1D0376"/>
    <w:rsid w:val="6FE5338B"/>
    <w:rsid w:val="700D7019"/>
    <w:rsid w:val="712D6B22"/>
    <w:rsid w:val="75C8506C"/>
    <w:rsid w:val="777B7B55"/>
    <w:rsid w:val="7ABE6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" w:hAnsi="仿宋" w:eastAsia="宋体" w:cs="Times New Roman"/>
      <w:kern w:val="0"/>
      <w:sz w:val="28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qFormat/>
    <w:uiPriority w:val="0"/>
    <w:pPr>
      <w:widowControl w:val="0"/>
      <w:adjustRightInd/>
      <w:spacing w:after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3">
    <w:name w:val="index 5"/>
    <w:basedOn w:val="1"/>
    <w:next w:val="1"/>
    <w:qFormat/>
    <w:uiPriority w:val="0"/>
    <w:pPr>
      <w:ind w:left="1680"/>
    </w:pPr>
  </w:style>
  <w:style w:type="paragraph" w:styleId="4">
    <w:name w:val="toa heading"/>
    <w:basedOn w:val="1"/>
    <w:next w:val="1"/>
    <w:qFormat/>
    <w:uiPriority w:val="99"/>
    <w:pPr>
      <w:spacing w:before="120" w:after="200" w:line="276" w:lineRule="auto"/>
    </w:pPr>
    <w:rPr>
      <w:rFonts w:ascii="Arial" w:hAnsi="Arial"/>
      <w:sz w:val="24"/>
    </w:rPr>
  </w:style>
  <w:style w:type="paragraph" w:styleId="5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6">
    <w:name w:val="Plain Text"/>
    <w:basedOn w:val="1"/>
    <w:unhideWhenUsed/>
    <w:qFormat/>
    <w:uiPriority w:val="99"/>
    <w:rPr>
      <w:rFonts w:ascii="宋体" w:hAnsi="Courier New" w:cs="Courier New"/>
    </w:rPr>
  </w:style>
  <w:style w:type="paragraph" w:styleId="7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Body Text First Indent 2"/>
    <w:basedOn w:val="5"/>
    <w:unhideWhenUsed/>
    <w:qFormat/>
    <w:uiPriority w:val="99"/>
    <w:pPr>
      <w:spacing w:before="100" w:beforeAutospacing="1" w:after="0"/>
      <w:ind w:firstLine="420" w:firstLineChars="200"/>
    </w:pPr>
  </w:style>
  <w:style w:type="paragraph" w:styleId="11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4099</Words>
  <Characters>4329</Characters>
  <Lines>0</Lines>
  <Paragraphs>0</Paragraphs>
  <TotalTime>1080</TotalTime>
  <ScaleCrop>false</ScaleCrop>
  <LinksUpToDate>false</LinksUpToDate>
  <CharactersWithSpaces>4350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2024-06-25T02:00:00Z</dcterms:created>
  <dc:creator>Administrator</dc:creator>
  <cp:lastModifiedBy>如颖随形</cp:lastModifiedBy>
  <cp:lastPrinted>2024-06-26T01:57:00Z</cp:lastPrinted>
  <dcterms:modified xsi:type="dcterms:W3CDTF">2026-06-10T01:26:49Z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A2C92B0D204647B58A3DF7BDCD2D58B2_13</vt:lpwstr>
  </property>
  <property fmtid="{D5CDD505-2E9C-101B-9397-08002B2CF9AE}" pid="4" name="KSOTemplateDocerSaveRecord">
    <vt:lpwstr>eyJoZGlkIjoiODBlN2FjNzIyMjg0MWQ4OTJjMWZjYTBmODM1MDk1NzYiLCJ1c2VySWQiOiI0MDMzNDg4NzQifQ==</vt:lpwstr>
  </property>
</Properties>
</file>